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67481477" w:rsidR="00F422D3" w:rsidRDefault="00F422D3" w:rsidP="004D482C">
      <w:pPr>
        <w:pStyle w:val="Titul2"/>
      </w:pPr>
      <w:r>
        <w:t>Název zakázky:</w:t>
      </w:r>
      <w:r w:rsidR="003F0E62">
        <w:t xml:space="preserve"> </w:t>
      </w:r>
      <w:r w:rsidR="008D6B7F">
        <w:t>Vypracování projektové dokumentace</w:t>
      </w:r>
      <w:r w:rsidR="008D6B7F" w:rsidRPr="00657A25">
        <w:t xml:space="preserve"> „</w:t>
      </w:r>
      <w:r w:rsidR="008D6B7F" w:rsidRPr="00157357">
        <w:rPr>
          <w:rFonts w:ascii="Verdana" w:eastAsia="Verdana" w:hAnsi="Verdana" w:cs="Times New Roman"/>
        </w:rPr>
        <w:t>Oprava trati v úseku Chrastava – Hrádek nad Nisou</w:t>
      </w:r>
      <w:r w:rsidR="008D6B7F" w:rsidRPr="00657A25">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8D6B7F">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20C1ADED" w14:textId="68360405" w:rsidR="001C2A3F" w:rsidRPr="008D6B7F" w:rsidRDefault="001C2A3F" w:rsidP="008D6B7F">
      <w:pPr>
        <w:numPr>
          <w:ilvl w:val="0"/>
          <w:numId w:val="12"/>
        </w:numPr>
        <w:tabs>
          <w:tab w:val="left" w:pos="567"/>
          <w:tab w:val="left" w:pos="3544"/>
        </w:tabs>
        <w:spacing w:line="240" w:lineRule="auto"/>
        <w:ind w:left="1134" w:hanging="425"/>
        <w:rPr>
          <w:rFonts w:eastAsia="Times New Roman" w:cs="Arial"/>
          <w:snapToGrid w:val="0"/>
          <w:lang w:eastAsia="cs-CZ"/>
        </w:rPr>
      </w:pPr>
      <w:r w:rsidRPr="008D6B7F">
        <w:rPr>
          <w:rFonts w:eastAsia="Times New Roman" w:cs="Arial"/>
          <w:snapToGrid w:val="0"/>
          <w:lang w:eastAsia="cs-CZ"/>
        </w:rPr>
        <w:t>ve věcech smluvních:</w:t>
      </w:r>
      <w:r w:rsidRPr="008D6B7F">
        <w:rPr>
          <w:rFonts w:eastAsia="Times New Roman" w:cs="Arial"/>
          <w:snapToGrid w:val="0"/>
          <w:lang w:eastAsia="cs-CZ"/>
        </w:rPr>
        <w:tab/>
        <w:t>Ing. Jan Jirowetz, tel.: 972 341 425, ORHKRzvz@</w:t>
      </w:r>
      <w:r w:rsidR="00855710" w:rsidRPr="008D6B7F">
        <w:rPr>
          <w:rFonts w:eastAsia="Times New Roman" w:cs="Arial"/>
          <w:snapToGrid w:val="0"/>
          <w:lang w:eastAsia="cs-CZ"/>
        </w:rPr>
        <w:t>spravazeleznic</w:t>
      </w:r>
      <w:r w:rsidRPr="008D6B7F">
        <w:rPr>
          <w:rFonts w:eastAsia="Times New Roman" w:cs="Arial"/>
          <w:snapToGrid w:val="0"/>
          <w:lang w:eastAsia="cs-CZ"/>
        </w:rPr>
        <w:t>.cz</w:t>
      </w:r>
    </w:p>
    <w:p w14:paraId="413A2E2C" w14:textId="0FF8872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8D6B7F">
        <w:rPr>
          <w:rFonts w:eastAsia="Times New Roman" w:cs="Arial"/>
          <w:snapToGrid w:val="0"/>
          <w:lang w:eastAsia="cs-CZ"/>
        </w:rPr>
        <w:t>ve věcech technických:</w:t>
      </w:r>
      <w:r w:rsidR="00566EF0" w:rsidRPr="008D6B7F">
        <w:rPr>
          <w:rFonts w:eastAsia="Times New Roman" w:cs="Arial"/>
          <w:snapToGrid w:val="0"/>
          <w:lang w:eastAsia="cs-CZ"/>
        </w:rPr>
        <w:tab/>
      </w:r>
      <w:r w:rsidR="008D6B7F" w:rsidRPr="008D6B7F">
        <w:rPr>
          <w:rFonts w:eastAsia="Times New Roman" w:cs="Arial"/>
          <w:snapToGrid w:val="0"/>
          <w:lang w:eastAsia="cs-CZ"/>
        </w:rPr>
        <w:t>Jaroslav Janda</w:t>
      </w:r>
      <w:r w:rsidR="00566EF0" w:rsidRPr="008D6B7F">
        <w:rPr>
          <w:rFonts w:eastAsia="Times New Roman" w:cs="Arial"/>
          <w:snapToGrid w:val="0"/>
          <w:lang w:eastAsia="cs-CZ"/>
        </w:rPr>
        <w:t xml:space="preserve">, tel.: </w:t>
      </w:r>
      <w:r w:rsidR="008D6B7F" w:rsidRPr="008D6B7F">
        <w:rPr>
          <w:rFonts w:eastAsia="Times New Roman" w:cs="Arial"/>
          <w:snapToGrid w:val="0"/>
          <w:lang w:eastAsia="cs-CZ"/>
        </w:rPr>
        <w:t>728 466 488</w:t>
      </w:r>
      <w:r w:rsidR="00566EF0" w:rsidRPr="008D6B7F">
        <w:rPr>
          <w:rFonts w:eastAsia="Times New Roman" w:cs="Arial"/>
          <w:snapToGrid w:val="0"/>
          <w:lang w:eastAsia="cs-CZ"/>
        </w:rPr>
        <w:t xml:space="preserve">, </w:t>
      </w:r>
      <w:r w:rsidR="008D6B7F" w:rsidRPr="008D6B7F">
        <w:rPr>
          <w:rFonts w:eastAsia="Times New Roman" w:cs="Arial"/>
          <w:snapToGrid w:val="0"/>
          <w:lang w:eastAsia="cs-CZ"/>
        </w:rPr>
        <w:t>JandaJ</w:t>
      </w:r>
      <w:r w:rsidR="00566EF0" w:rsidRPr="008D6B7F">
        <w:rPr>
          <w:rFonts w:eastAsia="Times New Roman" w:cs="Arial"/>
          <w:snapToGrid w:val="0"/>
          <w:lang w:eastAsia="cs-CZ"/>
        </w:rPr>
        <w:t>@spravazeleznic</w:t>
      </w:r>
      <w:r w:rsidR="00566EF0">
        <w:rPr>
          <w:rFonts w:eastAsia="Times New Roman" w:cs="Arial"/>
          <w:snapToGrid w:val="0"/>
          <w:lang w:eastAsia="cs-CZ"/>
        </w:rPr>
        <w:t>.cz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48A6CBE9" w:rsidR="00C63E53" w:rsidRDefault="00C63E53" w:rsidP="004D482C">
      <w:pPr>
        <w:pStyle w:val="Textbezodsazen"/>
        <w:ind w:left="567"/>
        <w:rPr>
          <w:b/>
        </w:rPr>
      </w:pPr>
      <w:r>
        <w:t>ev. č. registru VZ</w:t>
      </w:r>
      <w:r w:rsidRPr="00B42F40">
        <w:t xml:space="preserve">: </w:t>
      </w:r>
      <w:r w:rsidR="00020570">
        <w:t>64023</w:t>
      </w:r>
      <w:r w:rsidR="005A7566">
        <w:t>096</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57C6A601" w14:textId="27DB2B65" w:rsidR="0020183E" w:rsidRPr="008D6B7F" w:rsidRDefault="008D6B7F"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8D6B7F">
        <w:rPr>
          <w:rFonts w:eastAsia="Times New Roman" w:cs="Arial"/>
          <w:snapToGrid w:val="0"/>
          <w:lang w:eastAsia="cs-CZ"/>
        </w:rPr>
        <w:t>specialista na mosty a inženýrské konstrukce</w:t>
      </w:r>
      <w:r w:rsidR="0020183E" w:rsidRPr="008D6B7F">
        <w:rPr>
          <w:rFonts w:eastAsia="Times New Roman" w:cs="Arial"/>
          <w:snapToGrid w:val="0"/>
          <w:lang w:eastAsia="cs-CZ"/>
        </w:rPr>
        <w:t>:</w:t>
      </w:r>
    </w:p>
    <w:p w14:paraId="3F5ABFD7" w14:textId="4AE7C502" w:rsidR="0020183E" w:rsidRDefault="0020183E" w:rsidP="004D482C">
      <w:pPr>
        <w:tabs>
          <w:tab w:val="left" w:pos="567"/>
          <w:tab w:val="left" w:pos="3544"/>
        </w:tabs>
        <w:spacing w:after="0" w:line="240" w:lineRule="auto"/>
        <w:ind w:left="149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188D86DA" w14:textId="7CA6ACC1" w:rsidR="0020183E" w:rsidRPr="008D6B7F"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8D6B7F">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4167F737"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8D6B7F" w:rsidRPr="00157357">
        <w:rPr>
          <w:rFonts w:ascii="Verdana" w:eastAsia="Verdana" w:hAnsi="Verdana" w:cs="Times New Roman"/>
        </w:rPr>
        <w:t>Oprava trati v úseku Chrastava – Hrádek nad Nisou</w:t>
      </w:r>
      <w:r w:rsidRPr="00657A25">
        <w:t xml:space="preserve">“, č. </w:t>
      </w:r>
      <w:r w:rsidRPr="00B61444">
        <w:t>j</w:t>
      </w:r>
      <w:r w:rsidRPr="00566EF0">
        <w:t>.:</w:t>
      </w:r>
      <w:r w:rsidR="00566EF0">
        <w:t xml:space="preserve"> </w:t>
      </w:r>
      <w:r w:rsidR="00C7683D" w:rsidRPr="001A7121">
        <w:t>31522/2023-SŽ-OŘ HKR-</w:t>
      </w:r>
      <w:proofErr w:type="spellStart"/>
      <w:r w:rsidR="00C7683D" w:rsidRPr="001A7121">
        <w:t>NPI</w:t>
      </w:r>
      <w:proofErr w:type="spellEnd"/>
      <w:r w:rsidR="00C7683D" w:rsidRPr="008B6928">
        <w:t xml:space="preserve"> </w:t>
      </w:r>
      <w:r w:rsidR="002E15AB" w:rsidRPr="008B6928">
        <w:t>/2023-SŽ-OŘ HKR-</w:t>
      </w:r>
      <w:proofErr w:type="spellStart"/>
      <w:r w:rsidR="002E15AB" w:rsidRPr="008B6928">
        <w:t>NPI</w:t>
      </w:r>
      <w:proofErr w:type="spellEnd"/>
      <w:r w:rsidR="002E15AB" w:rsidRPr="00657A25">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64B12495"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příslušné technické normy (ČSN, EN,</w:t>
      </w:r>
      <w:r w:rsidR="008D6B7F">
        <w:t xml:space="preserve"> </w:t>
      </w:r>
      <w:r w:rsidRPr="00A02B1F">
        <w:t xml:space="preserve">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1D9DB121" w:rsidR="007D0186" w:rsidRPr="00324258" w:rsidRDefault="007D0186" w:rsidP="004D482C">
      <w:pPr>
        <w:pStyle w:val="Text1-1"/>
      </w:pPr>
      <w:r w:rsidRPr="00324258">
        <w:t xml:space="preserve">Název díla: </w:t>
      </w:r>
      <w:r w:rsidR="008D6B7F">
        <w:t>Vypracování projektové dokumentace</w:t>
      </w:r>
      <w:r w:rsidR="008D6B7F" w:rsidRPr="00657A25">
        <w:t xml:space="preserve"> „</w:t>
      </w:r>
      <w:r w:rsidR="008D6B7F" w:rsidRPr="00157357">
        <w:rPr>
          <w:rFonts w:ascii="Verdana" w:eastAsia="Verdana" w:hAnsi="Verdana" w:cs="Times New Roman"/>
        </w:rPr>
        <w:t>Oprava trati v úseku Chrastava – Hrádek nad Nisou</w:t>
      </w:r>
      <w:r w:rsidR="008D6B7F" w:rsidRPr="00657A25">
        <w:t>“</w:t>
      </w:r>
    </w:p>
    <w:p w14:paraId="35F362D5" w14:textId="069F5F85"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8D6B7F" w:rsidRPr="008D6B7F">
        <w:t>opravu trati v úseku Chrastava – Hrádek nad Nisou</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Technická dokumentace</w:t>
      </w:r>
    </w:p>
    <w:p w14:paraId="3C54A08B"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Situace</w:t>
      </w:r>
    </w:p>
    <w:p w14:paraId="159FBF0D"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Podélný profil</w:t>
      </w:r>
    </w:p>
    <w:p w14:paraId="2C71254C"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Vzorové příčné řezy koleje a přejezdu</w:t>
      </w:r>
    </w:p>
    <w:p w14:paraId="0BB0AAB5"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Vytyčovací výkres</w:t>
      </w:r>
    </w:p>
    <w:p w14:paraId="139189EB"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Technologický postup výlukových prací</w:t>
      </w:r>
    </w:p>
    <w:p w14:paraId="5164BDA2" w14:textId="532F65D3"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Položkový soupis prací s výkazem výměr (oceněný + neoceněný)</w:t>
      </w:r>
      <w:r w:rsidR="009D5187" w:rsidRPr="009D5187">
        <w:t xml:space="preserve"> </w:t>
      </w:r>
      <w:r w:rsidR="009D5187" w:rsidRPr="009D5187">
        <w:rPr>
          <w:rFonts w:asciiTheme="minorHAnsi" w:hAnsiTheme="minorHAnsi"/>
          <w:b w:val="0"/>
          <w:caps w:val="0"/>
          <w:sz w:val="18"/>
        </w:rPr>
        <w:t>– v členění dle Směrnice SŽ SM011</w:t>
      </w:r>
    </w:p>
    <w:p w14:paraId="20CBD1B6"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Dokladová část (výpis z katastru nemovitostí, kopie katastrální mapy, příp. informací o</w:t>
      </w:r>
      <w:r w:rsidR="008B2FF7" w:rsidRPr="008D6B7F">
        <w:rPr>
          <w:rFonts w:asciiTheme="minorHAnsi" w:hAnsiTheme="minorHAnsi"/>
          <w:b w:val="0"/>
          <w:caps w:val="0"/>
          <w:sz w:val="18"/>
        </w:rPr>
        <w:t> </w:t>
      </w:r>
      <w:r w:rsidRPr="008D6B7F">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w:t>
      </w:r>
      <w:proofErr w:type="gramStart"/>
      <w:r w:rsidRPr="00624262">
        <w:t>obdrží</w:t>
      </w:r>
      <w:proofErr w:type="gramEnd"/>
      <w:r w:rsidRPr="00624262">
        <w:t xml:space="preserve">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139F8592" w:rsidR="00A209AF" w:rsidRPr="00A209AF" w:rsidRDefault="00A209AF" w:rsidP="004D482C">
      <w:pPr>
        <w:pStyle w:val="Text1-1"/>
      </w:pPr>
      <w:r w:rsidRPr="00A209AF">
        <w:t>Po ukončení 1. Dílčí etapy proběhne připomínkování návrhu technického řešení Objednatelem a následné zapracování připomínek</w:t>
      </w:r>
      <w:r w:rsidR="00171486">
        <w:t xml:space="preserve"> Zhotovitelem, přičemž jsou pro </w:t>
      </w:r>
      <w:r w:rsidRPr="00A209AF">
        <w:t>smluvní strany závazné následující lhůty. Objednatel</w:t>
      </w:r>
      <w:r w:rsidR="004408BD">
        <w:t xml:space="preserve"> zašle Zhotoviteli připomínky k </w:t>
      </w:r>
      <w:r w:rsidRPr="00A209AF">
        <w:t xml:space="preserve">návrhu technického řešení do 17 pracovních dnů od jeho doručení. Zhotovitel má </w:t>
      </w:r>
      <w:r w:rsidRPr="00A209AF">
        <w:lastRenderedPageBreak/>
        <w:t xml:space="preserve">následně povinnost zapracovat připomínky či zaslat důvod </w:t>
      </w:r>
      <w:r w:rsidR="00171486">
        <w:t>jejich nepřijetí Objednateli 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36E02665" w:rsidR="00D84FB3" w:rsidRPr="00092818" w:rsidRDefault="00D84FB3" w:rsidP="008D6B7F">
      <w:pPr>
        <w:tabs>
          <w:tab w:val="left" w:pos="1418"/>
          <w:tab w:val="left" w:pos="2552"/>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sidR="008D6B7F">
        <w:rPr>
          <w:rFonts w:ascii="Arial" w:hAnsi="Arial" w:cs="Arial"/>
          <w:sz w:val="22"/>
          <w:szCs w:val="22"/>
        </w:rPr>
        <w:tab/>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118B4F0E" w:rsidR="00D84FB3" w:rsidRPr="00007997" w:rsidRDefault="00D84FB3" w:rsidP="008D6B7F">
      <w:pPr>
        <w:tabs>
          <w:tab w:val="left" w:pos="1418"/>
          <w:tab w:val="left" w:pos="2552"/>
        </w:tabs>
        <w:spacing w:before="240" w:line="247" w:lineRule="auto"/>
        <w:ind w:right="-1"/>
        <w:jc w:val="both"/>
        <w:rPr>
          <w:rFonts w:cs="Arial"/>
        </w:rPr>
      </w:pPr>
      <w:r>
        <w:rPr>
          <w:rFonts w:ascii="Arial" w:hAnsi="Arial" w:cs="Arial"/>
          <w:sz w:val="22"/>
          <w:szCs w:val="22"/>
        </w:rPr>
        <w:tab/>
      </w:r>
      <w:r w:rsidRPr="00007997">
        <w:rPr>
          <w:rFonts w:cs="Arial"/>
        </w:rPr>
        <w:t>slovy:</w:t>
      </w:r>
      <w:r w:rsidR="008D6B7F">
        <w:rPr>
          <w:rFonts w:cs="Arial"/>
        </w:rPr>
        <w:tab/>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lastRenderedPageBreak/>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w:t>
      </w:r>
      <w:r w:rsidR="006C7460">
        <w:lastRenderedPageBreak/>
        <w:t xml:space="preserve">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rsidRPr="008D6B7F">
        <w:t xml:space="preserve">Zhotovitel poskytuje záruku za kvalitu a bezvadnost provedeného díla a následnou proveditelnost a plnou funkčnost předmětu projektové dokumentace po dobu </w:t>
      </w:r>
      <w:r w:rsidR="00413914" w:rsidRPr="008D6B7F">
        <w:rPr>
          <w:b/>
        </w:rPr>
        <w:t>60 </w:t>
      </w:r>
      <w:r w:rsidRPr="008D6B7F">
        <w:rPr>
          <w:b/>
        </w:rPr>
        <w:t>měsíců</w:t>
      </w:r>
      <w:r w:rsidRPr="008D6B7F">
        <w:t xml:space="preserve">, tzn. za to, že dílo a předmět projektové dokumentace bude splňovat požadavky </w:t>
      </w:r>
      <w:r w:rsidR="00642E18" w:rsidRPr="008D6B7F">
        <w:t>S</w:t>
      </w:r>
      <w:r w:rsidRPr="008D6B7F">
        <w:t>mlouvy,</w:t>
      </w:r>
      <w:r w:rsidRPr="00482306">
        <w:t xml:space="preserve">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3166DF11"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8D6B7F"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 xml:space="preserve">Díla více Zhotoviteli v souladu s jejich společnou nabídkou je povinen vůči Objednateli </w:t>
      </w:r>
      <w:r w:rsidRPr="00E10866">
        <w:rPr>
          <w:rFonts w:eastAsia="Calibri"/>
        </w:rPr>
        <w:lastRenderedPageBreak/>
        <w:t>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w:t>
      </w:r>
      <w:r w:rsidRPr="0029677D">
        <w:lastRenderedPageBreak/>
        <w:t xml:space="preserve">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39AA47F6"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w:t>
      </w:r>
      <w:r w:rsidR="008D6B7F">
        <w:t>,</w:t>
      </w:r>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 xml:space="preserve">Jestliže smluvní strana </w:t>
      </w:r>
      <w:proofErr w:type="gramStart"/>
      <w:r w:rsidRPr="00E87509">
        <w:t>označí</w:t>
      </w:r>
      <w:proofErr w:type="gramEnd"/>
      <w:r w:rsidRPr="00E87509">
        <w:t xml:space="preserve">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w:t>
      </w:r>
      <w:r w:rsidRPr="00E87509">
        <w:lastRenderedPageBreak/>
        <w:t xml:space="preserve">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 xml:space="preserve">hotovitel </w:t>
      </w:r>
      <w:proofErr w:type="gramStart"/>
      <w:r w:rsidR="00D330ED">
        <w:t>neoznačí</w:t>
      </w:r>
      <w:proofErr w:type="gramEnd"/>
      <w:r w:rsidR="00D330ED">
        <w:t xml:space="preserve">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 xml:space="preserve">Součást Smlouvy </w:t>
      </w:r>
      <w:proofErr w:type="gramStart"/>
      <w:r w:rsidRPr="00F97DBD">
        <w:t>tvoří</w:t>
      </w:r>
      <w:proofErr w:type="gramEnd"/>
      <w:r w:rsidRPr="00F97DBD">
        <w:t xml:space="preserve">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w:t>
      </w:r>
      <w:r w:rsidRPr="008D6B7F">
        <w:t xml:space="preserve">Ceny díla </w:t>
      </w:r>
      <w:r w:rsidR="009477C4" w:rsidRPr="008D6B7F">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w:t>
      </w:r>
      <w:proofErr w:type="gramStart"/>
      <w:r>
        <w:t>tvoří</w:t>
      </w:r>
      <w:proofErr w:type="gramEnd"/>
      <w:r>
        <w:t xml:space="preserve">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w:t>
      </w:r>
      <w:r w:rsidRPr="008D6B7F">
        <w:rPr>
          <w:b/>
          <w:bCs/>
        </w:rPr>
        <w:t>díla dle stavebních objektů</w:t>
      </w:r>
    </w:p>
    <w:p w14:paraId="12FAA84D" w14:textId="77777777" w:rsidR="008D6B7F" w:rsidRPr="00E248E3" w:rsidRDefault="008D6B7F" w:rsidP="008D6B7F">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8D6B7F" w14:paraId="31F2EEB7" w14:textId="77777777" w:rsidTr="009862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5173CD5" w14:textId="77777777" w:rsidR="008D6B7F" w:rsidRDefault="008D6B7F" w:rsidP="0098626E">
            <w:pPr>
              <w:pStyle w:val="Tabulka"/>
              <w:rPr>
                <w:rStyle w:val="Tun"/>
                <w:sz w:val="16"/>
                <w:szCs w:val="16"/>
              </w:rPr>
            </w:pPr>
            <w:r>
              <w:rPr>
                <w:rStyle w:val="Tun"/>
                <w:sz w:val="16"/>
                <w:szCs w:val="16"/>
              </w:rPr>
              <w:t>Položka</w:t>
            </w:r>
          </w:p>
        </w:tc>
        <w:tc>
          <w:tcPr>
            <w:tcW w:w="3216" w:type="dxa"/>
            <w:hideMark/>
          </w:tcPr>
          <w:p w14:paraId="57858D52" w14:textId="77777777" w:rsidR="008D6B7F"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398B69BE"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34646787"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Množství </w:t>
            </w:r>
            <w:r w:rsidRPr="008D6B7F">
              <w:rPr>
                <w:rStyle w:val="Tun"/>
                <w:sz w:val="16"/>
                <w:szCs w:val="16"/>
                <w:highlight w:val="yellow"/>
              </w:rPr>
              <w:t>*)</w:t>
            </w:r>
          </w:p>
        </w:tc>
        <w:tc>
          <w:tcPr>
            <w:tcW w:w="1293" w:type="dxa"/>
            <w:hideMark/>
          </w:tcPr>
          <w:p w14:paraId="0AE48727"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Jednotková cena </w:t>
            </w:r>
            <w:r w:rsidRPr="008D6B7F">
              <w:rPr>
                <w:rStyle w:val="Tun"/>
                <w:sz w:val="16"/>
                <w:szCs w:val="16"/>
                <w:highlight w:val="yellow"/>
              </w:rPr>
              <w:t>*)</w:t>
            </w:r>
          </w:p>
        </w:tc>
        <w:tc>
          <w:tcPr>
            <w:tcW w:w="1321" w:type="dxa"/>
            <w:hideMark/>
          </w:tcPr>
          <w:p w14:paraId="7C21A63A"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Cena celkem </w:t>
            </w:r>
            <w:r w:rsidRPr="008D6B7F">
              <w:rPr>
                <w:rStyle w:val="Tun"/>
                <w:sz w:val="16"/>
                <w:szCs w:val="16"/>
                <w:highlight w:val="yellow"/>
              </w:rPr>
              <w:t>*)</w:t>
            </w:r>
          </w:p>
        </w:tc>
      </w:tr>
      <w:tr w:rsidR="002C10AE" w14:paraId="7246F073"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FBCAED5" w14:textId="77777777" w:rsidR="002C10AE" w:rsidRPr="008018E2" w:rsidRDefault="002C10AE" w:rsidP="002C10AE">
            <w:pPr>
              <w:pStyle w:val="Tabulka"/>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148BFEBE"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9B87EF0"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5EA94B5" w14:textId="45E0CC2E"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63579D39" w14:textId="5C05DA40"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33779C3" w14:textId="6792A569"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75271A84"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8357FA" w14:textId="77777777" w:rsidR="002C10AE" w:rsidRPr="008018E2" w:rsidRDefault="002C10AE" w:rsidP="002C10AE">
            <w:pPr>
              <w:pStyle w:val="Tabulka"/>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17D2D063"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0D913325"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663C95E" w14:textId="157822F0"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0D30D419" w14:textId="3CE1093C"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2545785C" w14:textId="202C178B"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1B3981A8"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8312386" w14:textId="77777777" w:rsidR="002C10AE" w:rsidRPr="008018E2" w:rsidRDefault="002C10AE" w:rsidP="002C10AE">
            <w:pPr>
              <w:pStyle w:val="Tabulka"/>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102CC956"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134B33F"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DCD4AE7" w14:textId="632005AE"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47BF8A03" w14:textId="5E86DAE5"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A1E65F1" w14:textId="7688789A"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7FF9A05C"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82FB8DD" w14:textId="77777777" w:rsidR="002C10AE" w:rsidRPr="008018E2" w:rsidRDefault="002C10AE" w:rsidP="002C10AE">
            <w:pPr>
              <w:pStyle w:val="Tabulka"/>
            </w:pPr>
            <w:r w:rsidRPr="008018E2">
              <w:t>4</w:t>
            </w:r>
          </w:p>
        </w:tc>
        <w:tc>
          <w:tcPr>
            <w:tcW w:w="3216" w:type="dxa"/>
            <w:tcBorders>
              <w:top w:val="single" w:sz="2" w:space="0" w:color="auto"/>
              <w:left w:val="single" w:sz="2" w:space="0" w:color="auto"/>
              <w:bottom w:val="single" w:sz="2" w:space="0" w:color="auto"/>
              <w:right w:val="single" w:sz="2" w:space="0" w:color="auto"/>
            </w:tcBorders>
            <w:hideMark/>
          </w:tcPr>
          <w:p w14:paraId="29D3BDEB"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3B29ACB9"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48D41291" w14:textId="66F66AB8"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0AD92AF5" w14:textId="1669090F"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851AA28" w14:textId="568D53B9"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4C3FB7DC"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89F5D7" w14:textId="77777777" w:rsidR="002C10AE" w:rsidRPr="008018E2" w:rsidRDefault="002C10AE" w:rsidP="002C10AE">
            <w:pPr>
              <w:pStyle w:val="Tabulka"/>
            </w:pPr>
            <w:r w:rsidRPr="008018E2">
              <w:t>5</w:t>
            </w:r>
          </w:p>
        </w:tc>
        <w:tc>
          <w:tcPr>
            <w:tcW w:w="3216" w:type="dxa"/>
            <w:tcBorders>
              <w:top w:val="single" w:sz="2" w:space="0" w:color="auto"/>
              <w:left w:val="single" w:sz="2" w:space="0" w:color="auto"/>
              <w:bottom w:val="single" w:sz="2" w:space="0" w:color="auto"/>
              <w:right w:val="single" w:sz="2" w:space="0" w:color="auto"/>
            </w:tcBorders>
            <w:hideMark/>
          </w:tcPr>
          <w:p w14:paraId="15A8FBDF"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ED3476C"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5A67B08E" w14:textId="00EF2B9B"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56ED2BE0" w14:textId="726899F8"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3B9069E" w14:textId="31E7B5EF"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79D4909B" w14:textId="77777777" w:rsidTr="0098626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37D524E" w14:textId="77777777" w:rsidR="002C10AE" w:rsidRPr="00540C69" w:rsidRDefault="002C10AE" w:rsidP="002C10AE">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9CB5CF1" w14:textId="77777777"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9B964E3" w14:textId="77777777"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8604269" w14:textId="77777777"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FE0B034" w14:textId="28CF42CD" w:rsidR="002C10AE" w:rsidRPr="00117275" w:rsidRDefault="007248A8" w:rsidP="002C10AE">
            <w:pPr>
              <w:pStyle w:val="Tabulka"/>
              <w:cnfStyle w:val="000000000000" w:firstRow="0" w:lastRow="0" w:firstColumn="0" w:lastColumn="0" w:oddVBand="0" w:evenVBand="0" w:oddHBand="0" w:evenHBand="0" w:firstRowFirstColumn="0" w:firstRowLastColumn="0" w:lastRowFirstColumn="0" w:lastRowLastColumn="0"/>
              <w:rPr>
                <w:b/>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5CEFA2C9" w14:textId="77777777" w:rsidR="008D6B7F" w:rsidRDefault="008D6B7F" w:rsidP="008D6B7F">
      <w:pPr>
        <w:pStyle w:val="Nadpisbezsl1-2"/>
        <w:rPr>
          <w:rFonts w:asciiTheme="minorHAnsi" w:hAnsiTheme="minorHAnsi"/>
          <w:b w:val="0"/>
          <w:sz w:val="18"/>
        </w:rPr>
      </w:pPr>
      <w:r>
        <w:rPr>
          <w:sz w:val="18"/>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8D6B7F" w14:paraId="13FA9222" w14:textId="77777777" w:rsidTr="009862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044DFF8" w14:textId="77777777" w:rsidR="008D6B7F" w:rsidRDefault="008D6B7F" w:rsidP="0098626E">
            <w:pPr>
              <w:pStyle w:val="Tabulka"/>
              <w:rPr>
                <w:rStyle w:val="Tun"/>
                <w:sz w:val="16"/>
                <w:szCs w:val="16"/>
              </w:rPr>
            </w:pPr>
            <w:r>
              <w:rPr>
                <w:rStyle w:val="Tun"/>
                <w:sz w:val="16"/>
                <w:szCs w:val="16"/>
              </w:rPr>
              <w:t>Položka</w:t>
            </w:r>
          </w:p>
        </w:tc>
        <w:tc>
          <w:tcPr>
            <w:tcW w:w="3216" w:type="dxa"/>
            <w:hideMark/>
          </w:tcPr>
          <w:p w14:paraId="1D511CF7" w14:textId="77777777" w:rsidR="008D6B7F"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BD0EA8C"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28C2ED41"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Množství </w:t>
            </w:r>
            <w:r w:rsidRPr="008D6B7F">
              <w:rPr>
                <w:rStyle w:val="Tun"/>
                <w:sz w:val="16"/>
                <w:szCs w:val="16"/>
                <w:highlight w:val="yellow"/>
              </w:rPr>
              <w:t>*)</w:t>
            </w:r>
          </w:p>
        </w:tc>
        <w:tc>
          <w:tcPr>
            <w:tcW w:w="1293" w:type="dxa"/>
            <w:hideMark/>
          </w:tcPr>
          <w:p w14:paraId="59149BC5"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Jednotková cena </w:t>
            </w:r>
            <w:r w:rsidRPr="008D6B7F">
              <w:rPr>
                <w:rStyle w:val="Tun"/>
                <w:sz w:val="16"/>
                <w:szCs w:val="16"/>
                <w:highlight w:val="yellow"/>
              </w:rPr>
              <w:t>*)</w:t>
            </w:r>
          </w:p>
        </w:tc>
        <w:tc>
          <w:tcPr>
            <w:tcW w:w="1321" w:type="dxa"/>
            <w:hideMark/>
          </w:tcPr>
          <w:p w14:paraId="06A8C783"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Cena celkem </w:t>
            </w:r>
            <w:r w:rsidRPr="008D6B7F">
              <w:rPr>
                <w:rStyle w:val="Tun"/>
                <w:sz w:val="16"/>
                <w:szCs w:val="16"/>
                <w:highlight w:val="yellow"/>
              </w:rPr>
              <w:t>*)</w:t>
            </w:r>
          </w:p>
        </w:tc>
      </w:tr>
      <w:tr w:rsidR="002C10AE" w14:paraId="0D00EA2E"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EC4D5E8" w14:textId="77777777" w:rsidR="002C10AE" w:rsidRPr="008018E2" w:rsidRDefault="002C10AE" w:rsidP="002C10AE">
            <w:pPr>
              <w:pStyle w:val="Tabulka"/>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304ED78F"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BB05E37"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81B58F2" w14:textId="776368D6"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6C300424" w14:textId="3BB9D2C1"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91BDD2E" w14:textId="62D6F713"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2E7D3C5B"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724B096" w14:textId="77777777" w:rsidR="002C10AE" w:rsidRPr="008018E2" w:rsidRDefault="002C10AE" w:rsidP="002C10AE">
            <w:pPr>
              <w:pStyle w:val="Tabulka"/>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55976E71"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2D74B9F2"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20E4B08" w14:textId="54505948"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2961751B" w14:textId="297E01B0"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AD668C0" w14:textId="6213914E"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295F6509"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5814827" w14:textId="77777777" w:rsidR="002C10AE" w:rsidRPr="008018E2" w:rsidRDefault="002C10AE" w:rsidP="002C10AE">
            <w:pPr>
              <w:pStyle w:val="Tabulka"/>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1BB9B286"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E02748E"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F3E3610" w14:textId="027C1750"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10ACF2C9" w14:textId="6D96FE59"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5EABCF2" w14:textId="54A89591"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010ADB16"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4BB3CAEF" w14:textId="77777777" w:rsidR="002C10AE" w:rsidRPr="008018E2" w:rsidRDefault="002C10AE" w:rsidP="002C10AE">
            <w:pPr>
              <w:pStyle w:val="Tabulka"/>
            </w:pPr>
            <w:r>
              <w:t>4</w:t>
            </w:r>
          </w:p>
        </w:tc>
        <w:tc>
          <w:tcPr>
            <w:tcW w:w="3216" w:type="dxa"/>
            <w:tcBorders>
              <w:top w:val="single" w:sz="2" w:space="0" w:color="auto"/>
              <w:left w:val="single" w:sz="2" w:space="0" w:color="auto"/>
              <w:bottom w:val="single" w:sz="2" w:space="0" w:color="auto"/>
              <w:right w:val="single" w:sz="2" w:space="0" w:color="auto"/>
            </w:tcBorders>
          </w:tcPr>
          <w:p w14:paraId="4B7D034C"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977" w:type="dxa"/>
            <w:tcBorders>
              <w:top w:val="single" w:sz="2" w:space="0" w:color="auto"/>
              <w:left w:val="single" w:sz="2" w:space="0" w:color="auto"/>
              <w:bottom w:val="single" w:sz="2" w:space="0" w:color="auto"/>
              <w:right w:val="single" w:sz="2" w:space="0" w:color="auto"/>
            </w:tcBorders>
          </w:tcPr>
          <w:p w14:paraId="15F45799"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59D14C04" w14:textId="5F2BD7AF"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4D5E2193" w14:textId="2FFE3070"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2F3AE25D" w14:textId="459506B0"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4BFBD3BC"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883918B" w14:textId="77777777" w:rsidR="002C10AE" w:rsidRPr="008018E2" w:rsidRDefault="002C10AE" w:rsidP="002C10AE">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A733DF8"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21D021E"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2DE6D868" w14:textId="1BA83D9E"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0C08E305" w14:textId="20509989"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BF9DF64" w14:textId="4F1EED04"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01B72A17"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6F6B1B6" w14:textId="77777777" w:rsidR="002C10AE" w:rsidRPr="008018E2" w:rsidRDefault="002C10AE" w:rsidP="002C10AE">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110C4180"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 xml:space="preserve">Inženýrská činnost </w:t>
            </w:r>
            <w:r w:rsidRPr="00883F92">
              <w:t>(včetně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1E398FB0" w14:textId="77777777" w:rsidR="002C10AE" w:rsidRPr="008018E2"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214A11A8" w14:textId="71920902"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31940EC8" w14:textId="0A709082"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roofErr w:type="gramStart"/>
            <w:r>
              <w:rPr>
                <w:sz w:val="10"/>
                <w:szCs w:val="10"/>
                <w:highlight w:val="yellow"/>
              </w:rPr>
              <w:t>VLOŽÍ</w:t>
            </w:r>
            <w:proofErr w:type="gramEnd"/>
            <w:r>
              <w:rPr>
                <w:sz w:val="10"/>
                <w:szCs w:val="10"/>
                <w:highlight w:val="yellow"/>
              </w:rPr>
              <w:t xml:space="preserve">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807E3B4" w14:textId="1B648B98"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2C10AE" w14:paraId="1D351171" w14:textId="77777777" w:rsidTr="002C10A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7916C47" w14:textId="77777777" w:rsidR="002C10AE" w:rsidRPr="00540C69" w:rsidRDefault="002C10AE" w:rsidP="002C10AE">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0F3AD58" w14:textId="77777777"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F4DE2BC" w14:textId="77777777"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3A001100" w14:textId="77777777" w:rsidR="002C10AE" w:rsidRDefault="002C10AE" w:rsidP="002C10A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2F990A83" w14:textId="77777777" w:rsidR="002C10AE" w:rsidRPr="00117275" w:rsidRDefault="002C10AE" w:rsidP="002C10AE">
            <w:pPr>
              <w:pStyle w:val="Tabulka"/>
              <w:cnfStyle w:val="000000000000" w:firstRow="0" w:lastRow="0" w:firstColumn="0" w:lastColumn="0" w:oddVBand="0" w:evenVBand="0" w:oddHBand="0" w:evenHBand="0" w:firstRowFirstColumn="0" w:firstRowLastColumn="0" w:lastRowFirstColumn="0" w:lastRowLastColumn="0"/>
              <w:rPr>
                <w:b/>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5EF417A1" w14:textId="77777777" w:rsidR="008D6B7F" w:rsidRDefault="008D6B7F" w:rsidP="004D482C">
      <w:pPr>
        <w:pStyle w:val="Textbezodsazen"/>
        <w:rPr>
          <w:b/>
          <w:bCs/>
        </w:rPr>
      </w:pPr>
    </w:p>
    <w:p w14:paraId="387CD15D" w14:textId="77777777" w:rsidR="0065340E" w:rsidRDefault="0065340E" w:rsidP="004D482C">
      <w:pPr>
        <w:pStyle w:val="Textbezslovn"/>
        <w:ind w:left="0"/>
      </w:pPr>
      <w:r>
        <w:t>Všechny ceny jsou uvedené v Kč bez DPH.</w:t>
      </w:r>
    </w:p>
    <w:p w14:paraId="05F5A33F" w14:textId="77777777" w:rsidR="002C10AE" w:rsidRDefault="002C10AE" w:rsidP="004D482C">
      <w:pPr>
        <w:pStyle w:val="Textbezslovn"/>
        <w:ind w:left="0"/>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8D6B7F" w:rsidRPr="00CB14D6" w14:paraId="7B4501C8" w14:textId="77777777" w:rsidTr="009862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62308679" w14:textId="77777777" w:rsidR="008D6B7F" w:rsidRPr="00CB14D6" w:rsidRDefault="008D6B7F" w:rsidP="0098626E">
            <w:pPr>
              <w:spacing w:before="40" w:after="40"/>
              <w:jc w:val="both"/>
              <w:rPr>
                <w:b/>
              </w:rPr>
            </w:pPr>
            <w:bookmarkStart w:id="4" w:name="_Hlk145062691"/>
            <w:r w:rsidRPr="00CB14D6">
              <w:rPr>
                <w:b/>
              </w:rPr>
              <w:t>Část Díla</w:t>
            </w:r>
          </w:p>
        </w:tc>
        <w:tc>
          <w:tcPr>
            <w:tcW w:w="2352" w:type="dxa"/>
            <w:hideMark/>
          </w:tcPr>
          <w:p w14:paraId="7AA3BD6D" w14:textId="77777777" w:rsidR="008D6B7F" w:rsidRPr="00CB14D6" w:rsidRDefault="008D6B7F" w:rsidP="0098626E">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5" w:type="dxa"/>
            <w:hideMark/>
          </w:tcPr>
          <w:p w14:paraId="76A6E6E5" w14:textId="77777777" w:rsidR="008D6B7F" w:rsidRPr="00CB14D6" w:rsidRDefault="008D6B7F" w:rsidP="0098626E">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6" w:type="dxa"/>
            <w:hideMark/>
          </w:tcPr>
          <w:p w14:paraId="7BF4D965" w14:textId="77777777" w:rsidR="008D6B7F" w:rsidRPr="00CB14D6" w:rsidRDefault="008D6B7F" w:rsidP="0098626E">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8D6B7F" w:rsidRPr="00CB14D6" w14:paraId="238F473C" w14:textId="77777777" w:rsidTr="0098626E">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21624CDF" w14:textId="77777777" w:rsidR="008D6B7F" w:rsidRPr="00D11A00" w:rsidRDefault="008D6B7F" w:rsidP="0098626E">
            <w:pPr>
              <w:spacing w:after="120"/>
              <w:jc w:val="both"/>
              <w:rPr>
                <w:b/>
                <w:sz w:val="16"/>
                <w:szCs w:val="16"/>
              </w:rPr>
            </w:pPr>
            <w:r w:rsidRPr="00D11A00">
              <w:rPr>
                <w:b/>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532BBA30"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4F929F99"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t>-</w:t>
            </w:r>
          </w:p>
        </w:tc>
        <w:tc>
          <w:tcPr>
            <w:tcW w:w="2126" w:type="dxa"/>
            <w:tcBorders>
              <w:top w:val="single" w:sz="2" w:space="0" w:color="auto"/>
              <w:left w:val="single" w:sz="2" w:space="0" w:color="auto"/>
              <w:bottom w:val="single" w:sz="2" w:space="0" w:color="auto"/>
              <w:right w:val="nil"/>
            </w:tcBorders>
            <w:shd w:val="clear" w:color="auto" w:fill="auto"/>
            <w:hideMark/>
          </w:tcPr>
          <w:p w14:paraId="47019A75"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t>-</w:t>
            </w:r>
          </w:p>
        </w:tc>
      </w:tr>
      <w:tr w:rsidR="008D6B7F" w:rsidRPr="00CB14D6" w14:paraId="38E5EDD9" w14:textId="77777777" w:rsidTr="0098626E">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tcPr>
          <w:p w14:paraId="4AAC7C46" w14:textId="77777777" w:rsidR="008D6B7F" w:rsidRPr="00D11A00" w:rsidRDefault="008D6B7F" w:rsidP="0098626E">
            <w:pPr>
              <w:spacing w:after="120"/>
              <w:jc w:val="both"/>
              <w:rPr>
                <w:b/>
                <w:sz w:val="16"/>
                <w:szCs w:val="16"/>
              </w:rPr>
            </w:pPr>
            <w:r w:rsidRPr="00D11A00">
              <w:rPr>
                <w:b/>
                <w:sz w:val="16"/>
                <w:szCs w:val="16"/>
              </w:rPr>
              <w:t>1. Dílčí etapa</w:t>
            </w:r>
          </w:p>
        </w:tc>
        <w:tc>
          <w:tcPr>
            <w:tcW w:w="2352" w:type="dxa"/>
            <w:tcBorders>
              <w:top w:val="single" w:sz="2" w:space="0" w:color="auto"/>
              <w:left w:val="single" w:sz="2" w:space="0" w:color="auto"/>
              <w:bottom w:val="single" w:sz="2" w:space="0" w:color="auto"/>
              <w:right w:val="single" w:sz="2" w:space="0" w:color="auto"/>
            </w:tcBorders>
            <w:shd w:val="clear" w:color="auto" w:fill="auto"/>
          </w:tcPr>
          <w:p w14:paraId="56285B1A"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D11A00">
              <w:rPr>
                <w:b/>
                <w:sz w:val="16"/>
                <w:szCs w:val="16"/>
              </w:rPr>
              <w:t xml:space="preserve">Do </w:t>
            </w:r>
            <w:r>
              <w:rPr>
                <w:b/>
                <w:sz w:val="16"/>
                <w:szCs w:val="16"/>
              </w:rPr>
              <w:t>7</w:t>
            </w:r>
            <w:r w:rsidRPr="00D11A00">
              <w:rPr>
                <w:b/>
                <w:sz w:val="16"/>
                <w:szCs w:val="16"/>
              </w:rPr>
              <w:t xml:space="preserve"> měsíců </w:t>
            </w:r>
            <w:r w:rsidRPr="00D11A00">
              <w:rPr>
                <w:sz w:val="16"/>
                <w:szCs w:val="16"/>
              </w:rPr>
              <w:t>od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tcPr>
          <w:p w14:paraId="653BCDD5"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Návrh technického řešení k připomínkovému řízení v souladu se směrnicí SŽ SM 014</w:t>
            </w:r>
          </w:p>
        </w:tc>
        <w:tc>
          <w:tcPr>
            <w:tcW w:w="2126" w:type="dxa"/>
            <w:tcBorders>
              <w:top w:val="single" w:sz="2" w:space="0" w:color="auto"/>
              <w:left w:val="single" w:sz="2" w:space="0" w:color="auto"/>
              <w:bottom w:val="single" w:sz="2" w:space="0" w:color="auto"/>
              <w:right w:val="nil"/>
            </w:tcBorders>
            <w:shd w:val="clear" w:color="auto" w:fill="auto"/>
          </w:tcPr>
          <w:p w14:paraId="425458F8"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Předání návrhu technické řešení</w:t>
            </w:r>
          </w:p>
        </w:tc>
      </w:tr>
      <w:tr w:rsidR="008D6B7F" w:rsidRPr="00CB14D6" w14:paraId="2FA292DB" w14:textId="77777777" w:rsidTr="0098626E">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67E269CF" w14:textId="77777777" w:rsidR="008D6B7F" w:rsidRPr="00D11A00" w:rsidRDefault="008D6B7F" w:rsidP="0098626E">
            <w:pPr>
              <w:spacing w:after="120"/>
              <w:jc w:val="both"/>
              <w:rPr>
                <w:b/>
              </w:rPr>
            </w:pPr>
            <w:r w:rsidRPr="00D11A00">
              <w:rPr>
                <w:b/>
                <w:sz w:val="16"/>
                <w:szCs w:val="16"/>
              </w:rPr>
              <w:t>2. Dílčí etapa</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74020B14"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b/>
                <w:sz w:val="16"/>
                <w:szCs w:val="16"/>
              </w:rPr>
              <w:t xml:space="preserve">Do </w:t>
            </w:r>
            <w:r>
              <w:rPr>
                <w:b/>
                <w:sz w:val="16"/>
                <w:szCs w:val="16"/>
              </w:rPr>
              <w:t>10</w:t>
            </w:r>
            <w:r w:rsidRPr="00D11A00">
              <w:rPr>
                <w:b/>
                <w:sz w:val="16"/>
                <w:szCs w:val="16"/>
              </w:rPr>
              <w:t xml:space="preserve"> měsíců </w:t>
            </w:r>
            <w:r w:rsidRPr="00D11A00">
              <w:rPr>
                <w:sz w:val="16"/>
                <w:szCs w:val="16"/>
              </w:rPr>
              <w:t>od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0D6FF927" w14:textId="2BB56BE9"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303CB7">
              <w:rPr>
                <w:sz w:val="16"/>
                <w:szCs w:val="16"/>
              </w:rPr>
              <w:t>Finální verze PDPS a DSP s dokladovou částí pro vydání stavebního povolení</w:t>
            </w:r>
          </w:p>
        </w:tc>
        <w:tc>
          <w:tcPr>
            <w:tcW w:w="2126" w:type="dxa"/>
            <w:tcBorders>
              <w:top w:val="single" w:sz="2" w:space="0" w:color="auto"/>
              <w:left w:val="single" w:sz="2" w:space="0" w:color="auto"/>
              <w:bottom w:val="single" w:sz="2" w:space="0" w:color="auto"/>
              <w:right w:val="nil"/>
            </w:tcBorders>
            <w:shd w:val="clear" w:color="auto" w:fill="auto"/>
            <w:hideMark/>
          </w:tcPr>
          <w:p w14:paraId="1BB5FC73" w14:textId="26355C8E" w:rsidR="008D6B7F" w:rsidRPr="00D11A00" w:rsidRDefault="008D6B7F" w:rsidP="003C12B3">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303CB7">
              <w:rPr>
                <w:sz w:val="16"/>
                <w:szCs w:val="16"/>
              </w:rPr>
              <w:t>Předání finální verze PDPS a DSP s dokladovou částí pro vydání stavebního povolení</w:t>
            </w:r>
          </w:p>
        </w:tc>
      </w:tr>
      <w:tr w:rsidR="008D6B7F" w:rsidRPr="00CB14D6" w14:paraId="264E1FB6" w14:textId="77777777" w:rsidTr="0098626E">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tcPr>
          <w:p w14:paraId="0AE8B58D" w14:textId="77777777" w:rsidR="008D6B7F" w:rsidRPr="00D11A00" w:rsidRDefault="008D6B7F" w:rsidP="0098626E">
            <w:pPr>
              <w:spacing w:after="120"/>
              <w:jc w:val="both"/>
              <w:rPr>
                <w:b/>
                <w:sz w:val="16"/>
                <w:szCs w:val="16"/>
              </w:rPr>
            </w:pPr>
            <w:r w:rsidRPr="00E8446F">
              <w:rPr>
                <w:b/>
                <w:sz w:val="16"/>
                <w:szCs w:val="16"/>
              </w:rPr>
              <w:t>3. Dílčí etapa</w:t>
            </w:r>
          </w:p>
        </w:tc>
        <w:tc>
          <w:tcPr>
            <w:tcW w:w="2352" w:type="dxa"/>
            <w:tcBorders>
              <w:top w:val="single" w:sz="2" w:space="0" w:color="auto"/>
              <w:left w:val="single" w:sz="2" w:space="0" w:color="auto"/>
              <w:bottom w:val="nil"/>
              <w:right w:val="single" w:sz="2" w:space="0" w:color="auto"/>
            </w:tcBorders>
            <w:shd w:val="clear" w:color="auto" w:fill="auto"/>
          </w:tcPr>
          <w:p w14:paraId="1C899B78" w14:textId="1266F33B"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b/>
                <w:sz w:val="16"/>
                <w:szCs w:val="16"/>
              </w:rPr>
            </w:pPr>
            <w:r w:rsidRPr="00E8446F">
              <w:rPr>
                <w:b/>
                <w:sz w:val="16"/>
                <w:szCs w:val="16"/>
              </w:rPr>
              <w:t xml:space="preserve">Do </w:t>
            </w:r>
            <w:r>
              <w:rPr>
                <w:b/>
                <w:sz w:val="16"/>
                <w:szCs w:val="16"/>
              </w:rPr>
              <w:t>1</w:t>
            </w:r>
            <w:r w:rsidR="00F12377">
              <w:rPr>
                <w:b/>
                <w:sz w:val="16"/>
                <w:szCs w:val="16"/>
              </w:rPr>
              <w:t>4</w:t>
            </w:r>
            <w:r w:rsidRPr="00E8446F">
              <w:rPr>
                <w:b/>
                <w:sz w:val="16"/>
                <w:szCs w:val="16"/>
              </w:rPr>
              <w:t xml:space="preserve"> měsíců </w:t>
            </w:r>
            <w:r w:rsidRPr="00E8446F">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tcPr>
          <w:p w14:paraId="661E1BBD" w14:textId="0ABCBF83"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FB77A8">
              <w:rPr>
                <w:sz w:val="16"/>
                <w:szCs w:val="16"/>
              </w:rPr>
              <w:t xml:space="preserve">Zajištění stavebního </w:t>
            </w:r>
            <w:r>
              <w:rPr>
                <w:sz w:val="16"/>
                <w:szCs w:val="16"/>
              </w:rPr>
              <w:t>řízení</w:t>
            </w:r>
          </w:p>
        </w:tc>
        <w:tc>
          <w:tcPr>
            <w:tcW w:w="2126" w:type="dxa"/>
            <w:tcBorders>
              <w:top w:val="single" w:sz="2" w:space="0" w:color="auto"/>
              <w:left w:val="single" w:sz="2" w:space="0" w:color="auto"/>
              <w:bottom w:val="nil"/>
              <w:right w:val="nil"/>
            </w:tcBorders>
            <w:shd w:val="clear" w:color="auto" w:fill="auto"/>
          </w:tcPr>
          <w:p w14:paraId="2C1B1700" w14:textId="0C7F3C40" w:rsidR="008D6B7F" w:rsidRPr="00D11A00" w:rsidRDefault="009D5187" w:rsidP="0098626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9D5187">
              <w:rPr>
                <w:sz w:val="16"/>
                <w:szCs w:val="16"/>
              </w:rPr>
              <w:t>Předání stavebního povolení</w:t>
            </w:r>
          </w:p>
        </w:tc>
      </w:tr>
      <w:bookmarkEnd w:id="4"/>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44CE" w14:textId="77777777" w:rsidR="00BB4F34" w:rsidRDefault="00BB4F34" w:rsidP="00962258">
      <w:pPr>
        <w:spacing w:after="0" w:line="240" w:lineRule="auto"/>
      </w:pPr>
      <w:r>
        <w:separator/>
      </w:r>
    </w:p>
  </w:endnote>
  <w:endnote w:type="continuationSeparator" w:id="0">
    <w:p w14:paraId="4FA3887C" w14:textId="77777777" w:rsidR="00BB4F34" w:rsidRDefault="00BB4F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2AACD457"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2B3">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7248A8">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8D6B7F" w:rsidRDefault="00F22A59" w:rsidP="00F422D3">
          <w:pPr>
            <w:pStyle w:val="Zpat0"/>
            <w:rPr>
              <w:b/>
              <w:sz w:val="14"/>
              <w:szCs w:val="14"/>
            </w:rPr>
          </w:pPr>
          <w:r w:rsidRPr="008D6B7F">
            <w:rPr>
              <w:b/>
              <w:sz w:val="14"/>
              <w:szCs w:val="14"/>
            </w:rPr>
            <w:t>SMLOUVA O DÍLO</w:t>
          </w:r>
        </w:p>
        <w:p w14:paraId="628BDA55" w14:textId="77777777" w:rsidR="00F22A59" w:rsidRPr="008D6B7F" w:rsidRDefault="00F22A59" w:rsidP="00F422D3">
          <w:pPr>
            <w:pStyle w:val="Zpat0"/>
            <w:rPr>
              <w:sz w:val="14"/>
              <w:szCs w:val="14"/>
            </w:rPr>
          </w:pPr>
          <w:r w:rsidRPr="008D6B7F">
            <w:rPr>
              <w:sz w:val="14"/>
              <w:szCs w:val="14"/>
            </w:rPr>
            <w:t>Služby</w:t>
          </w:r>
        </w:p>
        <w:p w14:paraId="2A43E0B2" w14:textId="2B81AE11" w:rsidR="00F22A59" w:rsidRPr="008D6B7F" w:rsidRDefault="008D6B7F" w:rsidP="00F422D3">
          <w:pPr>
            <w:pStyle w:val="Zpat0"/>
            <w:rPr>
              <w:sz w:val="14"/>
              <w:szCs w:val="14"/>
            </w:rPr>
          </w:pPr>
          <w:r w:rsidRPr="008D6B7F">
            <w:rPr>
              <w:sz w:val="14"/>
              <w:szCs w:val="14"/>
            </w:rPr>
            <w:t>Vypracování projektové dokumentace „</w:t>
          </w:r>
          <w:r w:rsidRPr="008D6B7F">
            <w:rPr>
              <w:rFonts w:ascii="Verdana" w:eastAsia="Verdana" w:hAnsi="Verdana" w:cs="Times New Roman"/>
              <w:sz w:val="14"/>
              <w:szCs w:val="14"/>
            </w:rPr>
            <w:t>Oprava trati v úseku Chrastava – Hrádek nad Nisou</w:t>
          </w:r>
          <w:r w:rsidRPr="008D6B7F">
            <w:rPr>
              <w:sz w:val="14"/>
              <w:szCs w:val="14"/>
            </w:rPr>
            <w:t>“</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F22A59" w14:paraId="72C408CF" w14:textId="77777777" w:rsidTr="008D6B7F">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7938"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0359A478" w:rsidR="00F22A59" w:rsidRDefault="008D6B7F" w:rsidP="00566EF0">
          <w:pPr>
            <w:pStyle w:val="Zpat0"/>
          </w:pPr>
          <w:r w:rsidRPr="008D6B7F">
            <w:rPr>
              <w:sz w:val="14"/>
              <w:szCs w:val="14"/>
            </w:rPr>
            <w:t>Vypracování projektové dokumentace „</w:t>
          </w:r>
          <w:r w:rsidRPr="008D6B7F">
            <w:rPr>
              <w:rFonts w:ascii="Verdana" w:eastAsia="Verdana" w:hAnsi="Verdana" w:cs="Times New Roman"/>
              <w:sz w:val="14"/>
              <w:szCs w:val="14"/>
            </w:rPr>
            <w:t>Oprava trati v úseku Chrastava – Hrádek nad Nisou</w:t>
          </w:r>
          <w:r w:rsidRPr="008D6B7F">
            <w:rPr>
              <w:sz w:val="14"/>
              <w:szCs w:val="14"/>
            </w:rPr>
            <w:t>“</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82438" w14:textId="77777777" w:rsidR="00BB4F34" w:rsidRDefault="00BB4F34" w:rsidP="00962258">
      <w:pPr>
        <w:spacing w:after="0" w:line="240" w:lineRule="auto"/>
      </w:pPr>
      <w:r>
        <w:separator/>
      </w:r>
    </w:p>
  </w:footnote>
  <w:footnote w:type="continuationSeparator" w:id="0">
    <w:p w14:paraId="65E0C2BC" w14:textId="77777777" w:rsidR="00BB4F34" w:rsidRDefault="00BB4F34"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37849981">
    <w:abstractNumId w:val="4"/>
  </w:num>
  <w:num w:numId="2" w16cid:durableId="1319189498">
    <w:abstractNumId w:val="1"/>
  </w:num>
  <w:num w:numId="3" w16cid:durableId="1531845033">
    <w:abstractNumId w:val="13"/>
  </w:num>
  <w:num w:numId="4" w16cid:durableId="560143896">
    <w:abstractNumId w:val="7"/>
  </w:num>
  <w:num w:numId="5" w16cid:durableId="416755030">
    <w:abstractNumId w:val="0"/>
  </w:num>
  <w:num w:numId="6" w16cid:durableId="1834879403">
    <w:abstractNumId w:val="8"/>
  </w:num>
  <w:num w:numId="7" w16cid:durableId="1886016604">
    <w:abstractNumId w:val="10"/>
  </w:num>
  <w:num w:numId="8" w16cid:durableId="1087460174">
    <w:abstractNumId w:val="11"/>
  </w:num>
  <w:num w:numId="9" w16cid:durableId="1343163642">
    <w:abstractNumId w:val="3"/>
  </w:num>
  <w:num w:numId="10" w16cid:durableId="1241481035">
    <w:abstractNumId w:val="14"/>
  </w:num>
  <w:num w:numId="11" w16cid:durableId="1796407924">
    <w:abstractNumId w:val="9"/>
  </w:num>
  <w:num w:numId="12" w16cid:durableId="990870388">
    <w:abstractNumId w:val="12"/>
  </w:num>
  <w:num w:numId="13" w16cid:durableId="1665165986">
    <w:abstractNumId w:val="2"/>
  </w:num>
  <w:num w:numId="14" w16cid:durableId="911162715">
    <w:abstractNumId w:val="5"/>
  </w:num>
  <w:num w:numId="15" w16cid:durableId="73547418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0570"/>
    <w:rsid w:val="0002749F"/>
    <w:rsid w:val="00030145"/>
    <w:rsid w:val="00040E2B"/>
    <w:rsid w:val="00041EC8"/>
    <w:rsid w:val="00043C69"/>
    <w:rsid w:val="0004467E"/>
    <w:rsid w:val="000503F3"/>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26E9"/>
    <w:rsid w:val="001F458E"/>
    <w:rsid w:val="001F72E0"/>
    <w:rsid w:val="0020183E"/>
    <w:rsid w:val="002038D5"/>
    <w:rsid w:val="002071BB"/>
    <w:rsid w:val="00207DF5"/>
    <w:rsid w:val="0021440B"/>
    <w:rsid w:val="00214C3E"/>
    <w:rsid w:val="00224A3C"/>
    <w:rsid w:val="0022516E"/>
    <w:rsid w:val="0023034B"/>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10AE"/>
    <w:rsid w:val="002C31BF"/>
    <w:rsid w:val="002C7A28"/>
    <w:rsid w:val="002D7FD6"/>
    <w:rsid w:val="002E0CD7"/>
    <w:rsid w:val="002E0CFB"/>
    <w:rsid w:val="002E15A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12B3"/>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A7566"/>
    <w:rsid w:val="005B599F"/>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48A8"/>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6B7F"/>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D5187"/>
    <w:rsid w:val="009E07F4"/>
    <w:rsid w:val="009E5A01"/>
    <w:rsid w:val="009F0867"/>
    <w:rsid w:val="009F309B"/>
    <w:rsid w:val="009F392E"/>
    <w:rsid w:val="009F53C5"/>
    <w:rsid w:val="009F638B"/>
    <w:rsid w:val="00A0740E"/>
    <w:rsid w:val="00A11838"/>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34E6"/>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B4F34"/>
    <w:rsid w:val="00BC06C4"/>
    <w:rsid w:val="00BC75F1"/>
    <w:rsid w:val="00BD4220"/>
    <w:rsid w:val="00BD7E91"/>
    <w:rsid w:val="00BD7F0D"/>
    <w:rsid w:val="00BF0A90"/>
    <w:rsid w:val="00BF1819"/>
    <w:rsid w:val="00C02D0A"/>
    <w:rsid w:val="00C03A6E"/>
    <w:rsid w:val="00C044F4"/>
    <w:rsid w:val="00C11E78"/>
    <w:rsid w:val="00C152D5"/>
    <w:rsid w:val="00C226C0"/>
    <w:rsid w:val="00C24109"/>
    <w:rsid w:val="00C3362F"/>
    <w:rsid w:val="00C37459"/>
    <w:rsid w:val="00C37F9F"/>
    <w:rsid w:val="00C42371"/>
    <w:rsid w:val="00C42FE6"/>
    <w:rsid w:val="00C44F6A"/>
    <w:rsid w:val="00C45470"/>
    <w:rsid w:val="00C4797C"/>
    <w:rsid w:val="00C53E39"/>
    <w:rsid w:val="00C53E7B"/>
    <w:rsid w:val="00C6198E"/>
    <w:rsid w:val="00C63B8E"/>
    <w:rsid w:val="00C63E53"/>
    <w:rsid w:val="00C708EA"/>
    <w:rsid w:val="00C73224"/>
    <w:rsid w:val="00C7683D"/>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377"/>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18DE22C-9449-44E4-ACC1-644DFC08C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13</Pages>
  <Words>5136</Words>
  <Characters>30304</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13</cp:revision>
  <cp:lastPrinted>2020-12-17T06:12:00Z</cp:lastPrinted>
  <dcterms:created xsi:type="dcterms:W3CDTF">2023-09-08T08:53:00Z</dcterms:created>
  <dcterms:modified xsi:type="dcterms:W3CDTF">2023-10-19T06:54:00Z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